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6724" w:rsidRDefault="00D06724">
      <w:bookmarkStart w:id="0" w:name="_GoBack"/>
      <w:bookmarkEnd w:id="0"/>
    </w:p>
    <w:p w:rsidR="00D06724" w:rsidRDefault="00F341CA">
      <w:r>
        <w:t xml:space="preserve">                                                                                                                                                                                                                                                                </w:t>
      </w:r>
      <w:r>
        <w:t xml:space="preserve">                                                                                                                                                                                                                                                                </w:t>
      </w:r>
      <w:r>
        <w:t xml:space="preserve">        </w:t>
      </w:r>
    </w:p>
    <w:p w:rsidR="00D06724" w:rsidRDefault="00D06724">
      <w:pPr>
        <w:pBdr>
          <w:top w:val="nil"/>
          <w:left w:val="nil"/>
          <w:bottom w:val="nil"/>
          <w:right w:val="nil"/>
          <w:between w:val="nil"/>
        </w:pBdr>
      </w:pPr>
    </w:p>
    <w:p w:rsidR="00D06724" w:rsidRDefault="00D06724"/>
    <w:p w:rsidR="00D06724" w:rsidRDefault="00D06724">
      <w:pPr>
        <w:pBdr>
          <w:top w:val="nil"/>
          <w:left w:val="nil"/>
          <w:bottom w:val="nil"/>
          <w:right w:val="nil"/>
          <w:between w:val="nil"/>
        </w:pBdr>
      </w:pPr>
    </w:p>
    <w:p w:rsidR="00D06724" w:rsidRDefault="00D06724">
      <w:pPr>
        <w:ind w:left="720"/>
      </w:pPr>
    </w:p>
    <w:p w:rsidR="00D06724" w:rsidRDefault="00F341CA">
      <w:pPr>
        <w:ind w:left="720" w:right="-450"/>
        <w:rPr>
          <w:b/>
          <w:color w:val="0000FF"/>
          <w:sz w:val="24"/>
          <w:szCs w:val="24"/>
        </w:rPr>
      </w:pPr>
      <w:r>
        <w:rPr>
          <w:b/>
          <w:color w:val="0000FF"/>
          <w:sz w:val="24"/>
          <w:szCs w:val="24"/>
        </w:rPr>
        <w:t>____________________________________________________________________________________</w:t>
      </w:r>
    </w:p>
    <w:p w:rsidR="00D06724" w:rsidRDefault="00D06724">
      <w:pPr>
        <w:ind w:left="720"/>
        <w:rPr>
          <w:sz w:val="24"/>
          <w:szCs w:val="24"/>
        </w:rPr>
      </w:pPr>
    </w:p>
    <w:p w:rsidR="00D06724" w:rsidRDefault="00F341CA">
      <w:pPr>
        <w:ind w:left="720" w:right="-360"/>
        <w:rPr>
          <w:rFonts w:ascii="Arial" w:eastAsia="Arial" w:hAnsi="Arial" w:cs="Arial"/>
          <w:sz w:val="22"/>
          <w:szCs w:val="22"/>
        </w:rPr>
      </w:pPr>
      <w:r>
        <w:rPr>
          <w:rFonts w:ascii="Arial" w:eastAsia="Arial" w:hAnsi="Arial" w:cs="Arial"/>
          <w:sz w:val="22"/>
          <w:szCs w:val="22"/>
        </w:rPr>
        <w:t>August 2024</w:t>
      </w:r>
    </w:p>
    <w:p w:rsidR="00D06724" w:rsidRDefault="00D06724">
      <w:pPr>
        <w:ind w:right="-360"/>
        <w:rPr>
          <w:rFonts w:ascii="Arial" w:eastAsia="Arial" w:hAnsi="Arial" w:cs="Arial"/>
          <w:sz w:val="22"/>
          <w:szCs w:val="22"/>
        </w:rPr>
      </w:pPr>
    </w:p>
    <w:p w:rsidR="00D06724" w:rsidRDefault="00F341CA">
      <w:pPr>
        <w:ind w:left="720" w:right="-360"/>
        <w:rPr>
          <w:rFonts w:ascii="Arial" w:eastAsia="Arial" w:hAnsi="Arial" w:cs="Arial"/>
          <w:sz w:val="22"/>
          <w:szCs w:val="22"/>
        </w:rPr>
      </w:pPr>
      <w:r>
        <w:rPr>
          <w:rFonts w:ascii="Arial" w:eastAsia="Arial" w:hAnsi="Arial" w:cs="Arial"/>
          <w:sz w:val="22"/>
          <w:szCs w:val="22"/>
        </w:rPr>
        <w:t>Dear Parent/Guardian,</w:t>
      </w:r>
    </w:p>
    <w:p w:rsidR="00D06724" w:rsidRDefault="00D06724">
      <w:pPr>
        <w:ind w:left="720" w:right="-360"/>
        <w:rPr>
          <w:rFonts w:ascii="Arial" w:eastAsia="Arial" w:hAnsi="Arial" w:cs="Arial"/>
          <w:sz w:val="16"/>
          <w:szCs w:val="16"/>
        </w:rPr>
      </w:pPr>
    </w:p>
    <w:p w:rsidR="00D06724" w:rsidRDefault="00F341CA">
      <w:pPr>
        <w:ind w:left="720" w:right="-360"/>
        <w:rPr>
          <w:rFonts w:ascii="Arial" w:eastAsia="Arial" w:hAnsi="Arial" w:cs="Arial"/>
          <w:sz w:val="22"/>
          <w:szCs w:val="22"/>
        </w:rPr>
      </w:pPr>
      <w:r>
        <w:rPr>
          <w:rFonts w:ascii="Arial" w:eastAsia="Arial" w:hAnsi="Arial" w:cs="Arial"/>
          <w:sz w:val="22"/>
          <w:szCs w:val="22"/>
        </w:rPr>
        <w:t>As a district we recognize the importance that attending school ultimately has on student success. A student who is chron</w:t>
      </w:r>
      <w:r>
        <w:rPr>
          <w:rFonts w:ascii="Arial" w:eastAsia="Arial" w:hAnsi="Arial" w:cs="Arial"/>
          <w:sz w:val="22"/>
          <w:szCs w:val="22"/>
        </w:rPr>
        <w:t>ically absent is at a greater risk of academic, social and emotional disadvantage when compared to his/her peers.  Traditionally speaking, chronically absent students lag behind their peers when it comes to academic achievement and academic growth.</w:t>
      </w:r>
    </w:p>
    <w:p w:rsidR="00D06724" w:rsidRDefault="00D06724">
      <w:pPr>
        <w:ind w:left="720" w:right="-360"/>
        <w:rPr>
          <w:rFonts w:ascii="Arial" w:eastAsia="Arial" w:hAnsi="Arial" w:cs="Arial"/>
          <w:sz w:val="16"/>
          <w:szCs w:val="16"/>
          <w:highlight w:val="yellow"/>
        </w:rPr>
      </w:pPr>
    </w:p>
    <w:p w:rsidR="00D06724" w:rsidRDefault="00F341CA">
      <w:pPr>
        <w:ind w:left="720" w:right="-360"/>
        <w:rPr>
          <w:rFonts w:ascii="Arial" w:eastAsia="Arial" w:hAnsi="Arial" w:cs="Arial"/>
          <w:sz w:val="22"/>
          <w:szCs w:val="22"/>
        </w:rPr>
      </w:pPr>
      <w:r>
        <w:rPr>
          <w:rFonts w:ascii="Arial" w:eastAsia="Arial" w:hAnsi="Arial" w:cs="Arial"/>
          <w:sz w:val="22"/>
          <w:szCs w:val="22"/>
        </w:rPr>
        <w:t>In ord</w:t>
      </w:r>
      <w:r>
        <w:rPr>
          <w:rFonts w:ascii="Arial" w:eastAsia="Arial" w:hAnsi="Arial" w:cs="Arial"/>
          <w:sz w:val="22"/>
          <w:szCs w:val="22"/>
        </w:rPr>
        <w:t>er to prevent chronic absenteeism and comply with state statute, our district implements the attendance policy and procedures outlined below. Please be sure to utilize the Genesis Parent Portal to record student absences and communicate with the Health Off</w:t>
      </w:r>
      <w:r>
        <w:rPr>
          <w:rFonts w:ascii="Arial" w:eastAsia="Arial" w:hAnsi="Arial" w:cs="Arial"/>
          <w:sz w:val="22"/>
          <w:szCs w:val="22"/>
        </w:rPr>
        <w:t xml:space="preserve">ice so we can accurately reflect absence reasons. </w:t>
      </w:r>
    </w:p>
    <w:p w:rsidR="00D06724" w:rsidRDefault="00D06724">
      <w:pPr>
        <w:ind w:left="720" w:right="-360"/>
        <w:rPr>
          <w:rFonts w:ascii="Arial" w:eastAsia="Arial" w:hAnsi="Arial" w:cs="Arial"/>
          <w:sz w:val="16"/>
          <w:szCs w:val="16"/>
        </w:rPr>
      </w:pPr>
    </w:p>
    <w:p w:rsidR="00D06724" w:rsidRDefault="00F341CA">
      <w:pPr>
        <w:ind w:left="720" w:right="-360"/>
        <w:rPr>
          <w:rFonts w:ascii="Arial" w:eastAsia="Arial" w:hAnsi="Arial" w:cs="Arial"/>
          <w:b/>
          <w:sz w:val="22"/>
          <w:szCs w:val="22"/>
        </w:rPr>
      </w:pPr>
      <w:r>
        <w:rPr>
          <w:rFonts w:ascii="Arial" w:eastAsia="Arial" w:hAnsi="Arial" w:cs="Arial"/>
          <w:b/>
          <w:sz w:val="22"/>
          <w:szCs w:val="22"/>
        </w:rPr>
        <w:t>Absence Categories</w:t>
      </w:r>
    </w:p>
    <w:p w:rsidR="00D06724" w:rsidRDefault="00F341CA">
      <w:pPr>
        <w:ind w:left="720" w:right="-360"/>
        <w:rPr>
          <w:rFonts w:ascii="Arial" w:eastAsia="Arial" w:hAnsi="Arial" w:cs="Arial"/>
          <w:sz w:val="22"/>
          <w:szCs w:val="22"/>
        </w:rPr>
      </w:pPr>
      <w:r>
        <w:rPr>
          <w:rFonts w:ascii="Arial" w:eastAsia="Arial" w:hAnsi="Arial" w:cs="Arial"/>
          <w:sz w:val="22"/>
          <w:szCs w:val="22"/>
        </w:rPr>
        <w:t xml:space="preserve">Student absences are recorded in one of the following categories based on the information provided (or not provided) by parents/guardians. </w:t>
      </w:r>
    </w:p>
    <w:p w:rsidR="00D06724" w:rsidRDefault="00D06724">
      <w:pPr>
        <w:ind w:left="720" w:right="-360"/>
        <w:rPr>
          <w:rFonts w:ascii="Arial" w:eastAsia="Arial" w:hAnsi="Arial" w:cs="Arial"/>
          <w:sz w:val="16"/>
          <w:szCs w:val="16"/>
        </w:rPr>
      </w:pPr>
    </w:p>
    <w:p w:rsidR="00D06724" w:rsidRDefault="00F341CA">
      <w:pPr>
        <w:numPr>
          <w:ilvl w:val="0"/>
          <w:numId w:val="1"/>
        </w:numPr>
        <w:spacing w:after="200"/>
        <w:ind w:right="-360"/>
      </w:pPr>
      <w:r>
        <w:rPr>
          <w:rFonts w:ascii="Arial" w:eastAsia="Arial" w:hAnsi="Arial" w:cs="Arial"/>
          <w:b/>
          <w:sz w:val="22"/>
          <w:szCs w:val="22"/>
        </w:rPr>
        <w:t>State-Excused Absence:</w:t>
      </w:r>
      <w:r>
        <w:rPr>
          <w:rFonts w:ascii="Arial" w:eastAsia="Arial" w:hAnsi="Arial" w:cs="Arial"/>
          <w:sz w:val="22"/>
          <w:szCs w:val="22"/>
        </w:rPr>
        <w:t xml:space="preserve"> Any absence that meets the criteria of the following three applicable reasons granted by the New Jersey Department of Education: </w:t>
      </w:r>
    </w:p>
    <w:p w:rsidR="00D06724" w:rsidRDefault="00F341CA">
      <w:pPr>
        <w:numPr>
          <w:ilvl w:val="1"/>
          <w:numId w:val="1"/>
        </w:numPr>
        <w:ind w:left="1440" w:right="-360" w:firstLine="0"/>
        <w:rPr>
          <w:rFonts w:ascii="Arial" w:eastAsia="Arial" w:hAnsi="Arial" w:cs="Arial"/>
          <w:sz w:val="22"/>
          <w:szCs w:val="22"/>
        </w:rPr>
      </w:pPr>
      <w:r>
        <w:rPr>
          <w:rFonts w:ascii="Arial" w:eastAsia="Arial" w:hAnsi="Arial" w:cs="Arial"/>
          <w:sz w:val="22"/>
          <w:szCs w:val="22"/>
        </w:rPr>
        <w:t xml:space="preserve">Religious observance (N.J.S.A. 18A: 36-15, 16);  </w:t>
      </w:r>
    </w:p>
    <w:p w:rsidR="00D06724" w:rsidRDefault="00F341CA">
      <w:pPr>
        <w:numPr>
          <w:ilvl w:val="1"/>
          <w:numId w:val="1"/>
        </w:numPr>
        <w:ind w:left="1440" w:right="-360" w:firstLine="0"/>
        <w:rPr>
          <w:rFonts w:ascii="Arial" w:eastAsia="Arial" w:hAnsi="Arial" w:cs="Arial"/>
          <w:sz w:val="22"/>
          <w:szCs w:val="22"/>
        </w:rPr>
      </w:pPr>
      <w:r>
        <w:rPr>
          <w:rFonts w:ascii="Arial" w:eastAsia="Arial" w:hAnsi="Arial" w:cs="Arial"/>
          <w:sz w:val="22"/>
          <w:szCs w:val="22"/>
        </w:rPr>
        <w:t>“Take Our Children to Work Day” or other rule issued by the Commissioner; o</w:t>
      </w:r>
      <w:r>
        <w:rPr>
          <w:rFonts w:ascii="Arial" w:eastAsia="Arial" w:hAnsi="Arial" w:cs="Arial"/>
          <w:sz w:val="22"/>
          <w:szCs w:val="22"/>
        </w:rPr>
        <w:t>r</w:t>
      </w:r>
    </w:p>
    <w:p w:rsidR="00D06724" w:rsidRDefault="00F341CA">
      <w:pPr>
        <w:numPr>
          <w:ilvl w:val="1"/>
          <w:numId w:val="1"/>
        </w:numPr>
        <w:ind w:left="1440" w:right="-360" w:firstLine="0"/>
        <w:rPr>
          <w:rFonts w:ascii="Arial" w:eastAsia="Arial" w:hAnsi="Arial" w:cs="Arial"/>
          <w:sz w:val="22"/>
          <w:szCs w:val="22"/>
        </w:rPr>
      </w:pPr>
      <w:r>
        <w:rPr>
          <w:rFonts w:ascii="Arial" w:eastAsia="Arial" w:hAnsi="Arial" w:cs="Arial"/>
          <w:sz w:val="22"/>
          <w:szCs w:val="22"/>
        </w:rPr>
        <w:t xml:space="preserve">Participation in observance of Veterans Day (N.J.S.A. 18A: 36-13.2) or district board  </w:t>
      </w:r>
    </w:p>
    <w:p w:rsidR="00D06724" w:rsidRDefault="00F341CA">
      <w:pPr>
        <w:ind w:left="2160" w:right="-360"/>
        <w:rPr>
          <w:rFonts w:ascii="Arial" w:eastAsia="Arial" w:hAnsi="Arial" w:cs="Arial"/>
          <w:sz w:val="22"/>
          <w:szCs w:val="22"/>
        </w:rPr>
      </w:pPr>
      <w:r>
        <w:rPr>
          <w:rFonts w:ascii="Arial" w:eastAsia="Arial" w:hAnsi="Arial" w:cs="Arial"/>
          <w:sz w:val="22"/>
          <w:szCs w:val="22"/>
        </w:rPr>
        <w:t>of election membership activities (N.J.S.A. 18A: 36-33).</w:t>
      </w:r>
    </w:p>
    <w:p w:rsidR="00D06724" w:rsidRDefault="00D06724">
      <w:pPr>
        <w:ind w:left="720" w:right="-360"/>
        <w:rPr>
          <w:rFonts w:ascii="Arial" w:eastAsia="Arial" w:hAnsi="Arial" w:cs="Arial"/>
          <w:sz w:val="16"/>
          <w:szCs w:val="16"/>
        </w:rPr>
      </w:pPr>
    </w:p>
    <w:p w:rsidR="00D06724" w:rsidRDefault="00F341CA">
      <w:pPr>
        <w:numPr>
          <w:ilvl w:val="0"/>
          <w:numId w:val="1"/>
        </w:numPr>
        <w:ind w:right="-360"/>
      </w:pPr>
      <w:r>
        <w:rPr>
          <w:rFonts w:ascii="Arial" w:eastAsia="Arial" w:hAnsi="Arial" w:cs="Arial"/>
          <w:b/>
          <w:sz w:val="22"/>
          <w:szCs w:val="22"/>
        </w:rPr>
        <w:t xml:space="preserve">Unexcused: District Verified Absence*: </w:t>
      </w:r>
      <w:r>
        <w:rPr>
          <w:rFonts w:ascii="Arial" w:eastAsia="Arial" w:hAnsi="Arial" w:cs="Arial"/>
          <w:sz w:val="22"/>
          <w:szCs w:val="22"/>
        </w:rPr>
        <w:t xml:space="preserve">Any absence for (1) illness or medical appointments accompanied by a </w:t>
      </w:r>
      <w:r>
        <w:rPr>
          <w:rFonts w:ascii="Arial" w:eastAsia="Arial" w:hAnsi="Arial" w:cs="Arial"/>
          <w:sz w:val="22"/>
          <w:szCs w:val="22"/>
        </w:rPr>
        <w:t>doctor's note, (2) court ordered appearances accompanied by written documentation, or (3) family illness or loss accompanied by written documentation.</w:t>
      </w:r>
    </w:p>
    <w:p w:rsidR="00D06724" w:rsidRDefault="00D06724">
      <w:pPr>
        <w:ind w:left="720" w:right="-360"/>
        <w:rPr>
          <w:rFonts w:ascii="Arial" w:eastAsia="Arial" w:hAnsi="Arial" w:cs="Arial"/>
          <w:sz w:val="16"/>
          <w:szCs w:val="16"/>
        </w:rPr>
      </w:pPr>
    </w:p>
    <w:p w:rsidR="00D06724" w:rsidRDefault="00F341CA">
      <w:pPr>
        <w:numPr>
          <w:ilvl w:val="0"/>
          <w:numId w:val="1"/>
        </w:numPr>
        <w:spacing w:after="200"/>
        <w:ind w:right="-360"/>
      </w:pPr>
      <w:r>
        <w:rPr>
          <w:rFonts w:ascii="Arial" w:eastAsia="Arial" w:hAnsi="Arial" w:cs="Arial"/>
          <w:b/>
          <w:sz w:val="22"/>
          <w:szCs w:val="22"/>
        </w:rPr>
        <w:t xml:space="preserve">Unexcused: Truant Absence*: </w:t>
      </w:r>
      <w:r>
        <w:rPr>
          <w:rFonts w:ascii="Arial" w:eastAsia="Arial" w:hAnsi="Arial" w:cs="Arial"/>
          <w:sz w:val="22"/>
          <w:szCs w:val="22"/>
        </w:rPr>
        <w:t xml:space="preserve">Any absence that is not listed above, including vacations. </w:t>
      </w:r>
    </w:p>
    <w:p w:rsidR="00D06724" w:rsidRDefault="00F341CA">
      <w:pPr>
        <w:spacing w:before="200" w:after="200"/>
        <w:ind w:left="1440" w:right="-360"/>
        <w:rPr>
          <w:rFonts w:ascii="Arial" w:eastAsia="Arial" w:hAnsi="Arial" w:cs="Arial"/>
          <w:b/>
          <w:sz w:val="22"/>
          <w:szCs w:val="22"/>
        </w:rPr>
      </w:pPr>
      <w:r>
        <w:rPr>
          <w:rFonts w:ascii="Arial" w:eastAsia="Arial" w:hAnsi="Arial" w:cs="Arial"/>
          <w:sz w:val="22"/>
          <w:szCs w:val="22"/>
        </w:rPr>
        <w:t>*We recognize th</w:t>
      </w:r>
      <w:r>
        <w:rPr>
          <w:rFonts w:ascii="Arial" w:eastAsia="Arial" w:hAnsi="Arial" w:cs="Arial"/>
          <w:sz w:val="22"/>
          <w:szCs w:val="22"/>
        </w:rPr>
        <w:t>at absences are inevitable; therefore, your child’s first five unexcused absences, if reported by a parent/guardian, will be considered unexcused: district verified absences regardless of the reason for the absence.</w:t>
      </w:r>
    </w:p>
    <w:p w:rsidR="00D06724" w:rsidRDefault="00F341CA">
      <w:pPr>
        <w:ind w:left="720" w:right="-360"/>
        <w:rPr>
          <w:rFonts w:ascii="Arial" w:eastAsia="Arial" w:hAnsi="Arial" w:cs="Arial"/>
          <w:b/>
          <w:sz w:val="22"/>
          <w:szCs w:val="22"/>
        </w:rPr>
      </w:pPr>
      <w:r>
        <w:rPr>
          <w:rFonts w:ascii="Arial" w:eastAsia="Arial" w:hAnsi="Arial" w:cs="Arial"/>
          <w:b/>
          <w:sz w:val="22"/>
          <w:szCs w:val="22"/>
        </w:rPr>
        <w:t>Administrative Actions</w:t>
      </w:r>
    </w:p>
    <w:p w:rsidR="00D06724" w:rsidRDefault="00F341CA">
      <w:pPr>
        <w:ind w:left="720" w:right="-360"/>
        <w:rPr>
          <w:rFonts w:ascii="Arial" w:eastAsia="Arial" w:hAnsi="Arial" w:cs="Arial"/>
          <w:sz w:val="22"/>
          <w:szCs w:val="22"/>
        </w:rPr>
      </w:pPr>
      <w:r>
        <w:rPr>
          <w:rFonts w:ascii="Arial" w:eastAsia="Arial" w:hAnsi="Arial" w:cs="Arial"/>
          <w:sz w:val="22"/>
          <w:szCs w:val="22"/>
        </w:rPr>
        <w:t>Administrators wi</w:t>
      </w:r>
      <w:r>
        <w:rPr>
          <w:rFonts w:ascii="Arial" w:eastAsia="Arial" w:hAnsi="Arial" w:cs="Arial"/>
          <w:sz w:val="22"/>
          <w:szCs w:val="22"/>
        </w:rPr>
        <w:t xml:space="preserve">ll take the following actions listed at each attendance threshold noted below: </w:t>
      </w:r>
    </w:p>
    <w:p w:rsidR="00D06724" w:rsidRDefault="00D06724">
      <w:pPr>
        <w:ind w:left="720" w:right="-360"/>
        <w:rPr>
          <w:rFonts w:ascii="Arial" w:eastAsia="Arial" w:hAnsi="Arial" w:cs="Arial"/>
          <w:sz w:val="16"/>
          <w:szCs w:val="16"/>
        </w:rPr>
      </w:pPr>
    </w:p>
    <w:p w:rsidR="00D06724" w:rsidRDefault="00F341CA">
      <w:pPr>
        <w:ind w:left="720" w:right="-360"/>
        <w:rPr>
          <w:rFonts w:ascii="Arial" w:eastAsia="Arial" w:hAnsi="Arial" w:cs="Arial"/>
          <w:b/>
          <w:sz w:val="22"/>
          <w:szCs w:val="22"/>
        </w:rPr>
      </w:pPr>
      <w:r>
        <w:rPr>
          <w:rFonts w:ascii="Arial" w:eastAsia="Arial" w:hAnsi="Arial" w:cs="Arial"/>
          <w:b/>
          <w:sz w:val="22"/>
          <w:szCs w:val="22"/>
        </w:rPr>
        <w:t xml:space="preserve">Five Unexcused (5) Absences: </w:t>
      </w:r>
    </w:p>
    <w:p w:rsidR="00D06724" w:rsidRDefault="00F341CA">
      <w:pPr>
        <w:numPr>
          <w:ilvl w:val="2"/>
          <w:numId w:val="2"/>
        </w:numPr>
        <w:spacing w:before="200"/>
        <w:ind w:right="-360"/>
      </w:pPr>
      <w:r>
        <w:rPr>
          <w:rFonts w:ascii="Arial" w:eastAsia="Arial" w:hAnsi="Arial" w:cs="Arial"/>
          <w:sz w:val="22"/>
          <w:szCs w:val="22"/>
        </w:rPr>
        <w:t xml:space="preserve">A letter will be sent through the Genesis Parent Portal reminding the parent/guardian of the district attendance policy. </w:t>
      </w:r>
    </w:p>
    <w:p w:rsidR="00D06724" w:rsidRDefault="00F341CA">
      <w:pPr>
        <w:numPr>
          <w:ilvl w:val="0"/>
          <w:numId w:val="2"/>
        </w:numPr>
        <w:ind w:left="1440" w:right="-360"/>
        <w:rPr>
          <w:rFonts w:ascii="Arial" w:eastAsia="Arial" w:hAnsi="Arial" w:cs="Arial"/>
          <w:sz w:val="22"/>
          <w:szCs w:val="22"/>
        </w:rPr>
      </w:pPr>
      <w:r>
        <w:rPr>
          <w:rFonts w:ascii="Arial" w:eastAsia="Arial" w:hAnsi="Arial" w:cs="Arial"/>
          <w:b/>
          <w:sz w:val="22"/>
          <w:szCs w:val="22"/>
        </w:rPr>
        <w:t xml:space="preserve">Five (5) Unexcused: Truant Absences:  </w:t>
      </w:r>
    </w:p>
    <w:p w:rsidR="00D06724" w:rsidRDefault="00F341CA">
      <w:pPr>
        <w:numPr>
          <w:ilvl w:val="2"/>
          <w:numId w:val="2"/>
        </w:numPr>
        <w:ind w:right="-360"/>
      </w:pPr>
      <w:r>
        <w:rPr>
          <w:rFonts w:ascii="Arial" w:eastAsia="Arial" w:hAnsi="Arial" w:cs="Arial"/>
          <w:sz w:val="22"/>
          <w:szCs w:val="22"/>
        </w:rPr>
        <w:lastRenderedPageBreak/>
        <w:t>A letter will be sent through the Genesis Parent Portal reminding the parent/guardian of the district attendance policy.</w:t>
      </w:r>
    </w:p>
    <w:p w:rsidR="00D06724" w:rsidRDefault="00F341CA">
      <w:pPr>
        <w:numPr>
          <w:ilvl w:val="2"/>
          <w:numId w:val="2"/>
        </w:numPr>
        <w:ind w:right="-360"/>
      </w:pPr>
      <w:r>
        <w:rPr>
          <w:rFonts w:ascii="Arial" w:eastAsia="Arial" w:hAnsi="Arial" w:cs="Arial"/>
          <w:sz w:val="22"/>
          <w:szCs w:val="22"/>
        </w:rPr>
        <w:t xml:space="preserve">Administration may request a parent meeting/phone conference to develop a collaborative attendance improvement plan. </w:t>
      </w:r>
    </w:p>
    <w:p w:rsidR="00D06724" w:rsidRDefault="00F341CA">
      <w:pPr>
        <w:numPr>
          <w:ilvl w:val="0"/>
          <w:numId w:val="2"/>
        </w:numPr>
        <w:ind w:left="1440" w:right="-360"/>
        <w:rPr>
          <w:rFonts w:ascii="Arial" w:eastAsia="Arial" w:hAnsi="Arial" w:cs="Arial"/>
          <w:sz w:val="22"/>
          <w:szCs w:val="22"/>
        </w:rPr>
      </w:pPr>
      <w:r>
        <w:rPr>
          <w:rFonts w:ascii="Arial" w:eastAsia="Arial" w:hAnsi="Arial" w:cs="Arial"/>
          <w:b/>
          <w:sz w:val="22"/>
          <w:szCs w:val="22"/>
        </w:rPr>
        <w:t xml:space="preserve">Ten Unexcused (10) Absences:  </w:t>
      </w:r>
    </w:p>
    <w:p w:rsidR="00D06724" w:rsidRDefault="00F341CA">
      <w:pPr>
        <w:numPr>
          <w:ilvl w:val="2"/>
          <w:numId w:val="2"/>
        </w:numPr>
        <w:ind w:right="-360"/>
      </w:pPr>
      <w:r>
        <w:rPr>
          <w:rFonts w:ascii="Arial" w:eastAsia="Arial" w:hAnsi="Arial" w:cs="Arial"/>
          <w:sz w:val="22"/>
          <w:szCs w:val="22"/>
        </w:rPr>
        <w:t>A letter will be sent through the Genesis Parent Portal alerting the parent/guardian that the student has r</w:t>
      </w:r>
      <w:r>
        <w:rPr>
          <w:rFonts w:ascii="Arial" w:eastAsia="Arial" w:hAnsi="Arial" w:cs="Arial"/>
          <w:sz w:val="22"/>
          <w:szCs w:val="22"/>
        </w:rPr>
        <w:t xml:space="preserve">eached this threshold. This letter will also be placed in the child’s cumulative folder. </w:t>
      </w:r>
    </w:p>
    <w:p w:rsidR="00D06724" w:rsidRDefault="00F341CA">
      <w:pPr>
        <w:numPr>
          <w:ilvl w:val="0"/>
          <w:numId w:val="2"/>
        </w:numPr>
        <w:ind w:left="1440" w:right="-360"/>
        <w:rPr>
          <w:rFonts w:ascii="Arial" w:eastAsia="Arial" w:hAnsi="Arial" w:cs="Arial"/>
          <w:sz w:val="22"/>
          <w:szCs w:val="22"/>
        </w:rPr>
      </w:pPr>
      <w:r>
        <w:rPr>
          <w:rFonts w:ascii="Arial" w:eastAsia="Arial" w:hAnsi="Arial" w:cs="Arial"/>
          <w:b/>
          <w:sz w:val="22"/>
          <w:szCs w:val="22"/>
        </w:rPr>
        <w:t xml:space="preserve">Ten (10) Unexcused: Truant Absences: </w:t>
      </w:r>
    </w:p>
    <w:p w:rsidR="00D06724" w:rsidRDefault="00F341CA">
      <w:pPr>
        <w:numPr>
          <w:ilvl w:val="2"/>
          <w:numId w:val="2"/>
        </w:numPr>
        <w:ind w:right="-360"/>
      </w:pPr>
      <w:r>
        <w:rPr>
          <w:rFonts w:ascii="Arial" w:eastAsia="Arial" w:hAnsi="Arial" w:cs="Arial"/>
          <w:sz w:val="22"/>
          <w:szCs w:val="22"/>
        </w:rPr>
        <w:t>A letter will be sent through the Genesis Parent Portal alerting the parent/guardian that the student has reached this threshold</w:t>
      </w:r>
      <w:r>
        <w:rPr>
          <w:rFonts w:ascii="Arial" w:eastAsia="Arial" w:hAnsi="Arial" w:cs="Arial"/>
          <w:sz w:val="22"/>
          <w:szCs w:val="22"/>
        </w:rPr>
        <w:t xml:space="preserve">. This letter will also be placed in the child’s cumulative folder.  </w:t>
      </w:r>
    </w:p>
    <w:p w:rsidR="00D06724" w:rsidRDefault="00F341CA">
      <w:pPr>
        <w:numPr>
          <w:ilvl w:val="2"/>
          <w:numId w:val="2"/>
        </w:numPr>
        <w:ind w:right="-360"/>
      </w:pPr>
      <w:r>
        <w:rPr>
          <w:rFonts w:ascii="Arial" w:eastAsia="Arial" w:hAnsi="Arial" w:cs="Arial"/>
          <w:sz w:val="22"/>
          <w:szCs w:val="22"/>
        </w:rPr>
        <w:t>A court referral may be made based on the discretion of the attendance officer.</w:t>
      </w:r>
    </w:p>
    <w:p w:rsidR="00D06724" w:rsidRDefault="00F341CA">
      <w:pPr>
        <w:numPr>
          <w:ilvl w:val="2"/>
          <w:numId w:val="2"/>
        </w:numPr>
        <w:ind w:right="-360"/>
      </w:pPr>
      <w:r>
        <w:rPr>
          <w:rFonts w:ascii="Arial" w:eastAsia="Arial" w:hAnsi="Arial" w:cs="Arial"/>
          <w:sz w:val="22"/>
          <w:szCs w:val="22"/>
        </w:rPr>
        <w:t>The district attendance officer or school administrator may schedule a parent meeting.</w:t>
      </w:r>
    </w:p>
    <w:p w:rsidR="00D06724" w:rsidRDefault="00F341CA">
      <w:pPr>
        <w:numPr>
          <w:ilvl w:val="0"/>
          <w:numId w:val="2"/>
        </w:numPr>
        <w:ind w:left="1440" w:right="-360"/>
        <w:rPr>
          <w:rFonts w:ascii="Arial" w:eastAsia="Arial" w:hAnsi="Arial" w:cs="Arial"/>
          <w:sz w:val="22"/>
          <w:szCs w:val="22"/>
        </w:rPr>
      </w:pPr>
      <w:r>
        <w:rPr>
          <w:rFonts w:ascii="Arial" w:eastAsia="Arial" w:hAnsi="Arial" w:cs="Arial"/>
          <w:b/>
          <w:sz w:val="22"/>
          <w:szCs w:val="22"/>
        </w:rPr>
        <w:t>Fifteen Unexcused (</w:t>
      </w:r>
      <w:r>
        <w:rPr>
          <w:rFonts w:ascii="Arial" w:eastAsia="Arial" w:hAnsi="Arial" w:cs="Arial"/>
          <w:b/>
          <w:sz w:val="22"/>
          <w:szCs w:val="22"/>
        </w:rPr>
        <w:t xml:space="preserve">15) Absences: </w:t>
      </w:r>
    </w:p>
    <w:p w:rsidR="00D06724" w:rsidRDefault="00F341CA">
      <w:pPr>
        <w:numPr>
          <w:ilvl w:val="2"/>
          <w:numId w:val="2"/>
        </w:numPr>
        <w:ind w:right="-360"/>
      </w:pPr>
      <w:r>
        <w:rPr>
          <w:rFonts w:ascii="Arial" w:eastAsia="Arial" w:hAnsi="Arial" w:cs="Arial"/>
          <w:sz w:val="22"/>
          <w:szCs w:val="22"/>
        </w:rPr>
        <w:t xml:space="preserve">A letter will be sent through the Genesis Parent Portal alerting the parent/guardian that the student has reached this threshold. This letter will also be placed in the child’s cumulative folder. </w:t>
      </w:r>
    </w:p>
    <w:p w:rsidR="00D06724" w:rsidRDefault="00F341CA">
      <w:pPr>
        <w:numPr>
          <w:ilvl w:val="3"/>
          <w:numId w:val="2"/>
        </w:numPr>
        <w:ind w:right="-360"/>
        <w:rPr>
          <w:rFonts w:ascii="Arial" w:eastAsia="Arial" w:hAnsi="Arial" w:cs="Arial"/>
          <w:sz w:val="22"/>
          <w:szCs w:val="22"/>
        </w:rPr>
      </w:pPr>
      <w:r>
        <w:rPr>
          <w:rFonts w:ascii="Arial" w:eastAsia="Arial" w:hAnsi="Arial" w:cs="Arial"/>
          <w:sz w:val="22"/>
          <w:szCs w:val="22"/>
        </w:rPr>
        <w:t>This letter will serve as initial notificati</w:t>
      </w:r>
      <w:r>
        <w:rPr>
          <w:rFonts w:ascii="Arial" w:eastAsia="Arial" w:hAnsi="Arial" w:cs="Arial"/>
          <w:sz w:val="22"/>
          <w:szCs w:val="22"/>
        </w:rPr>
        <w:t>on that an attendance review committee, including the parent/guardian, will convene to determine remediation for missed instructional days, which may include retention, attendance at the District summer program, or attendance at additional school-based sup</w:t>
      </w:r>
      <w:r>
        <w:rPr>
          <w:rFonts w:ascii="Arial" w:eastAsia="Arial" w:hAnsi="Arial" w:cs="Arial"/>
          <w:sz w:val="22"/>
          <w:szCs w:val="22"/>
        </w:rPr>
        <w:t xml:space="preserve">ports. </w:t>
      </w:r>
    </w:p>
    <w:p w:rsidR="00D06724" w:rsidRDefault="00F341CA">
      <w:pPr>
        <w:numPr>
          <w:ilvl w:val="2"/>
          <w:numId w:val="2"/>
        </w:numPr>
        <w:ind w:right="-360"/>
      </w:pPr>
      <w:r>
        <w:rPr>
          <w:rFonts w:ascii="Arial" w:eastAsia="Arial" w:hAnsi="Arial" w:cs="Arial"/>
          <w:sz w:val="22"/>
          <w:szCs w:val="22"/>
        </w:rPr>
        <w:t>A court referral may be made based on the discretion of the attendance officer.</w:t>
      </w:r>
    </w:p>
    <w:p w:rsidR="00D06724" w:rsidRDefault="00F341CA">
      <w:pPr>
        <w:numPr>
          <w:ilvl w:val="0"/>
          <w:numId w:val="2"/>
        </w:numPr>
        <w:ind w:left="1440" w:right="-360"/>
        <w:rPr>
          <w:rFonts w:ascii="Arial" w:eastAsia="Arial" w:hAnsi="Arial" w:cs="Arial"/>
          <w:sz w:val="22"/>
          <w:szCs w:val="22"/>
        </w:rPr>
      </w:pPr>
      <w:r>
        <w:rPr>
          <w:rFonts w:ascii="Arial" w:eastAsia="Arial" w:hAnsi="Arial" w:cs="Arial"/>
          <w:b/>
          <w:sz w:val="22"/>
          <w:szCs w:val="22"/>
        </w:rPr>
        <w:t xml:space="preserve">Eighteen Unexcused (18) Absences:  </w:t>
      </w:r>
    </w:p>
    <w:p w:rsidR="00D06724" w:rsidRDefault="00F341CA">
      <w:pPr>
        <w:numPr>
          <w:ilvl w:val="2"/>
          <w:numId w:val="2"/>
        </w:numPr>
        <w:ind w:right="-360"/>
      </w:pPr>
      <w:r>
        <w:rPr>
          <w:rFonts w:ascii="Arial" w:eastAsia="Arial" w:hAnsi="Arial" w:cs="Arial"/>
          <w:sz w:val="22"/>
          <w:szCs w:val="22"/>
        </w:rPr>
        <w:t>A letter will be sent through the Genesis Parent Portal alerting the parent/guardian that the student has reached this threshold. Th</w:t>
      </w:r>
      <w:r>
        <w:rPr>
          <w:rFonts w:ascii="Arial" w:eastAsia="Arial" w:hAnsi="Arial" w:cs="Arial"/>
          <w:sz w:val="22"/>
          <w:szCs w:val="22"/>
        </w:rPr>
        <w:t xml:space="preserve">is letter will also be placed in the child’s cumulative folder. </w:t>
      </w:r>
    </w:p>
    <w:p w:rsidR="00D06724" w:rsidRDefault="00F341CA">
      <w:pPr>
        <w:numPr>
          <w:ilvl w:val="2"/>
          <w:numId w:val="2"/>
        </w:numPr>
        <w:ind w:right="-360"/>
      </w:pPr>
      <w:r>
        <w:rPr>
          <w:rFonts w:ascii="Arial" w:eastAsia="Arial" w:hAnsi="Arial" w:cs="Arial"/>
          <w:sz w:val="22"/>
          <w:szCs w:val="22"/>
        </w:rPr>
        <w:t xml:space="preserve">Your child will be identified by the State of New Jersey as a “chronically absent” student. </w:t>
      </w:r>
    </w:p>
    <w:p w:rsidR="00D06724" w:rsidRDefault="00F341CA">
      <w:pPr>
        <w:numPr>
          <w:ilvl w:val="3"/>
          <w:numId w:val="2"/>
        </w:numPr>
        <w:spacing w:after="200"/>
        <w:ind w:right="-360"/>
        <w:rPr>
          <w:rFonts w:ascii="Arial" w:eastAsia="Arial" w:hAnsi="Arial" w:cs="Arial"/>
          <w:sz w:val="22"/>
          <w:szCs w:val="22"/>
        </w:rPr>
      </w:pPr>
      <w:r>
        <w:rPr>
          <w:rFonts w:ascii="Arial" w:eastAsia="Arial" w:hAnsi="Arial" w:cs="Arial"/>
          <w:sz w:val="22"/>
          <w:szCs w:val="22"/>
        </w:rPr>
        <w:t>If your child reaches this threshold in two consecutive years, the attendance review committee wil</w:t>
      </w:r>
      <w:r>
        <w:rPr>
          <w:rFonts w:ascii="Arial" w:eastAsia="Arial" w:hAnsi="Arial" w:cs="Arial"/>
          <w:sz w:val="22"/>
          <w:szCs w:val="22"/>
        </w:rPr>
        <w:t>l convene to determine remediation for missed instructional days, which may include retention, attendance at District Summer Program with 90% attendance, or attendance at additional school-based supports.   Should attendance still be a concern in the summe</w:t>
      </w:r>
      <w:r>
        <w:rPr>
          <w:rFonts w:ascii="Arial" w:eastAsia="Arial" w:hAnsi="Arial" w:cs="Arial"/>
          <w:sz w:val="22"/>
          <w:szCs w:val="22"/>
        </w:rPr>
        <w:t xml:space="preserve">r program, a truancy referral may be made to the court. </w:t>
      </w:r>
    </w:p>
    <w:p w:rsidR="00D06724" w:rsidRDefault="00F341CA">
      <w:pPr>
        <w:ind w:left="1080" w:right="-360"/>
        <w:rPr>
          <w:rFonts w:ascii="Arial" w:eastAsia="Arial" w:hAnsi="Arial" w:cs="Arial"/>
          <w:sz w:val="22"/>
          <w:szCs w:val="22"/>
        </w:rPr>
      </w:pPr>
      <w:r>
        <w:rPr>
          <w:rFonts w:ascii="Arial" w:eastAsia="Arial" w:hAnsi="Arial" w:cs="Arial"/>
          <w:sz w:val="22"/>
          <w:szCs w:val="22"/>
        </w:rPr>
        <w:t xml:space="preserve">Let’s prevent the effects of chronic absenteeism by working together to make sure your child attends school on a regular basis! </w:t>
      </w:r>
    </w:p>
    <w:p w:rsidR="00D06724" w:rsidRDefault="00D06724">
      <w:pPr>
        <w:ind w:left="1080"/>
        <w:rPr>
          <w:rFonts w:ascii="Arial" w:eastAsia="Arial" w:hAnsi="Arial" w:cs="Arial"/>
          <w:sz w:val="16"/>
          <w:szCs w:val="16"/>
        </w:rPr>
      </w:pPr>
    </w:p>
    <w:p w:rsidR="00D06724" w:rsidRDefault="00F341CA">
      <w:pPr>
        <w:ind w:left="1080"/>
        <w:rPr>
          <w:rFonts w:ascii="Arial" w:eastAsia="Arial" w:hAnsi="Arial" w:cs="Arial"/>
          <w:sz w:val="22"/>
          <w:szCs w:val="22"/>
        </w:rPr>
      </w:pPr>
      <w:r>
        <w:rPr>
          <w:rFonts w:ascii="Arial" w:eastAsia="Arial" w:hAnsi="Arial" w:cs="Arial"/>
          <w:sz w:val="22"/>
          <w:szCs w:val="22"/>
        </w:rPr>
        <w:t>Sincerely,</w:t>
      </w:r>
    </w:p>
    <w:p w:rsidR="00D06724" w:rsidRDefault="00F341CA">
      <w:pPr>
        <w:ind w:left="1080"/>
        <w:rPr>
          <w:rFonts w:ascii="Arial" w:eastAsia="Arial" w:hAnsi="Arial" w:cs="Arial"/>
          <w:sz w:val="22"/>
          <w:szCs w:val="22"/>
        </w:rPr>
      </w:pPr>
      <w:r>
        <w:rPr>
          <w:rFonts w:ascii="Arial" w:eastAsia="Arial" w:hAnsi="Arial" w:cs="Arial"/>
          <w:noProof/>
          <w:sz w:val="22"/>
          <w:szCs w:val="22"/>
        </w:rPr>
        <w:drawing>
          <wp:inline distT="114300" distB="114300" distL="114300" distR="114300">
            <wp:extent cx="1376363" cy="39427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76363" cy="394271"/>
                    </a:xfrm>
                    <a:prstGeom prst="rect">
                      <a:avLst/>
                    </a:prstGeom>
                    <a:ln/>
                  </pic:spPr>
                </pic:pic>
              </a:graphicData>
            </a:graphic>
          </wp:inline>
        </w:drawing>
      </w:r>
    </w:p>
    <w:p w:rsidR="00D06724" w:rsidRDefault="00F341CA">
      <w:pPr>
        <w:ind w:left="1080"/>
        <w:rPr>
          <w:rFonts w:ascii="Arial" w:eastAsia="Arial" w:hAnsi="Arial" w:cs="Arial"/>
          <w:sz w:val="22"/>
          <w:szCs w:val="22"/>
        </w:rPr>
      </w:pPr>
      <w:r>
        <w:rPr>
          <w:rFonts w:ascii="Arial" w:eastAsia="Arial" w:hAnsi="Arial" w:cs="Arial"/>
          <w:sz w:val="22"/>
          <w:szCs w:val="22"/>
        </w:rPr>
        <w:t>Nicole Santora, Ed.D.</w:t>
      </w:r>
    </w:p>
    <w:p w:rsidR="00D06724" w:rsidRDefault="00F341CA">
      <w:pPr>
        <w:ind w:left="1080"/>
        <w:rPr>
          <w:rFonts w:ascii="Arial" w:eastAsia="Arial" w:hAnsi="Arial" w:cs="Arial"/>
          <w:sz w:val="24"/>
          <w:szCs w:val="24"/>
        </w:rPr>
      </w:pPr>
      <w:r>
        <w:rPr>
          <w:rFonts w:ascii="Arial" w:eastAsia="Arial" w:hAnsi="Arial" w:cs="Arial"/>
          <w:sz w:val="22"/>
          <w:szCs w:val="22"/>
        </w:rPr>
        <w:t>Superintendent of Schools</w:t>
      </w:r>
    </w:p>
    <w:sectPr w:rsidR="00D06724">
      <w:headerReference w:type="even" r:id="rId8"/>
      <w:headerReference w:type="default" r:id="rId9"/>
      <w:footerReference w:type="even" r:id="rId10"/>
      <w:pgSz w:w="12240" w:h="15840"/>
      <w:pgMar w:top="1260" w:right="1440" w:bottom="1350" w:left="446"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41CA">
      <w:r>
        <w:separator/>
      </w:r>
    </w:p>
  </w:endnote>
  <w:endnote w:type="continuationSeparator" w:id="0">
    <w:p w:rsidR="00000000" w:rsidRDefault="00F3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24" w:rsidRDefault="00D067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41CA">
      <w:r>
        <w:separator/>
      </w:r>
    </w:p>
  </w:footnote>
  <w:footnote w:type="continuationSeparator" w:id="0">
    <w:p w:rsidR="00000000" w:rsidRDefault="00F3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24" w:rsidRDefault="00D067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24" w:rsidRDefault="00F341CA">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4752975</wp:posOffset>
              </wp:positionH>
              <wp:positionV relativeFrom="paragraph">
                <wp:posOffset>-742949</wp:posOffset>
              </wp:positionV>
              <wp:extent cx="2286000" cy="2336575"/>
              <wp:effectExtent l="0" t="0" r="0" b="0"/>
              <wp:wrapNone/>
              <wp:docPr id="1" name=""/>
              <wp:cNvGraphicFramePr/>
              <a:graphic xmlns:a="http://schemas.openxmlformats.org/drawingml/2006/main">
                <a:graphicData uri="http://schemas.microsoft.com/office/word/2010/wordprocessingGroup">
                  <wpg:wgp>
                    <wpg:cNvGrpSpPr/>
                    <wpg:grpSpPr>
                      <a:xfrm>
                        <a:off x="0" y="0"/>
                        <a:ext cx="2286000" cy="2336575"/>
                        <a:chOff x="4281100" y="2645500"/>
                        <a:chExt cx="2144800" cy="2190250"/>
                      </a:xfrm>
                    </wpg:grpSpPr>
                    <wps:wsp>
                      <wps:cNvPr id="2" name="Rectangle 2"/>
                      <wps:cNvSpPr/>
                      <wps:spPr>
                        <a:xfrm>
                          <a:off x="4301025" y="2650275"/>
                          <a:ext cx="2120100" cy="2180700"/>
                        </a:xfrm>
                        <a:prstGeom prst="rect">
                          <a:avLst/>
                        </a:prstGeom>
                        <a:noFill/>
                        <a:ln w="9525" cap="flat" cmpd="sng">
                          <a:solidFill>
                            <a:srgbClr val="1155CC">
                              <a:alpha val="0"/>
                            </a:srgbClr>
                          </a:solidFill>
                          <a:prstDash val="solid"/>
                          <a:round/>
                          <a:headEnd type="none" w="sm" len="sm"/>
                          <a:tailEnd type="none" w="sm" len="sm"/>
                        </a:ln>
                      </wps:spPr>
                      <wps:txbx>
                        <w:txbxContent>
                          <w:p w:rsidR="00D06724" w:rsidRDefault="00F341CA">
                            <w:pPr>
                              <w:jc w:val="center"/>
                              <w:textDirection w:val="btLr"/>
                            </w:pPr>
                            <w:r>
                              <w:rPr>
                                <w:b/>
                                <w:color w:val="0000FF"/>
                                <w:sz w:val="24"/>
                              </w:rPr>
                              <w:t>Nicole Santora, Ed.D.</w:t>
                            </w:r>
                          </w:p>
                          <w:p w:rsidR="00D06724" w:rsidRDefault="00F341CA">
                            <w:pPr>
                              <w:jc w:val="center"/>
                              <w:textDirection w:val="btLr"/>
                            </w:pPr>
                            <w:r>
                              <w:rPr>
                                <w:i/>
                                <w:color w:val="0000FF"/>
                                <w:sz w:val="22"/>
                              </w:rPr>
                              <w:t>Superintendent of Schools</w:t>
                            </w:r>
                          </w:p>
                          <w:p w:rsidR="00D06724" w:rsidRDefault="00F341CA">
                            <w:pPr>
                              <w:jc w:val="center"/>
                              <w:textDirection w:val="btLr"/>
                            </w:pPr>
                            <w:r>
                              <w:rPr>
                                <w:color w:val="0000FF"/>
                                <w:sz w:val="18"/>
                              </w:rPr>
                              <w:t>nicolesantora@mersnj.us</w:t>
                            </w:r>
                          </w:p>
                          <w:p w:rsidR="00D06724" w:rsidRDefault="00D06724">
                            <w:pPr>
                              <w:jc w:val="center"/>
                              <w:textDirection w:val="btLr"/>
                            </w:pPr>
                          </w:p>
                          <w:p w:rsidR="00D06724" w:rsidRDefault="00F341CA">
                            <w:pPr>
                              <w:jc w:val="center"/>
                              <w:textDirection w:val="btLr"/>
                            </w:pPr>
                            <w:r>
                              <w:rPr>
                                <w:color w:val="0000FF"/>
                                <w:sz w:val="18"/>
                              </w:rPr>
                              <w:t xml:space="preserve"> Peter M. Friedman Building</w:t>
                            </w:r>
                          </w:p>
                          <w:p w:rsidR="00D06724" w:rsidRDefault="00F341CA">
                            <w:pPr>
                              <w:jc w:val="center"/>
                              <w:textDirection w:val="btLr"/>
                            </w:pPr>
                            <w:r>
                              <w:rPr>
                                <w:color w:val="0000FF"/>
                                <w:sz w:val="18"/>
                              </w:rPr>
                              <w:t>54 Main Street</w:t>
                            </w:r>
                          </w:p>
                          <w:p w:rsidR="00D06724" w:rsidRDefault="00F341CA">
                            <w:pPr>
                              <w:jc w:val="center"/>
                              <w:textDirection w:val="btLr"/>
                            </w:pPr>
                            <w:r>
                              <w:rPr>
                                <w:color w:val="0000FF"/>
                                <w:sz w:val="18"/>
                              </w:rPr>
                              <w:t>Englishtown, N.J. 07726-1599</w:t>
                            </w:r>
                          </w:p>
                          <w:p w:rsidR="00D06724" w:rsidRDefault="00F341CA">
                            <w:pPr>
                              <w:jc w:val="center"/>
                              <w:textDirection w:val="btLr"/>
                            </w:pPr>
                            <w:r>
                              <w:rPr>
                                <w:color w:val="0000FF"/>
                                <w:sz w:val="18"/>
                              </w:rPr>
                              <w:t xml:space="preserve"> (732) 786-2500</w:t>
                            </w:r>
                          </w:p>
                          <w:p w:rsidR="00D06724" w:rsidRDefault="00F341CA">
                            <w:pPr>
                              <w:jc w:val="center"/>
                              <w:textDirection w:val="btLr"/>
                            </w:pPr>
                            <w:r>
                              <w:rPr>
                                <w:color w:val="0000FF"/>
                                <w:sz w:val="18"/>
                              </w:rPr>
                              <w:t>(732) 786-2541 FAX</w:t>
                            </w:r>
                          </w:p>
                          <w:p w:rsidR="00D06724" w:rsidRDefault="00D06724">
                            <w:pPr>
                              <w:jc w:val="center"/>
                              <w:textDirection w:val="btLr"/>
                            </w:pPr>
                          </w:p>
                        </w:txbxContent>
                      </wps:txbx>
                      <wps:bodyPr spcFirstLastPara="1" wrap="square" lIns="91425" tIns="91425" rIns="91425" bIns="91425" anchor="ctr" anchorCtr="0">
                        <a:noAutofit/>
                      </wps:bodyPr>
                    </wps:wsp>
                    <wps:wsp>
                      <wps:cNvPr id="3" name="Straight Arrow Connector 3"/>
                      <wps:cNvCnPr/>
                      <wps:spPr>
                        <a:xfrm>
                          <a:off x="4285875" y="2650275"/>
                          <a:ext cx="15300" cy="1999200"/>
                        </a:xfrm>
                        <a:prstGeom prst="straightConnector1">
                          <a:avLst/>
                        </a:prstGeom>
                        <a:noFill/>
                        <a:ln w="9525" cap="flat" cmpd="sng">
                          <a:solidFill>
                            <a:srgbClr val="0000FF"/>
                          </a:solidFill>
                          <a:prstDash val="solid"/>
                          <a:round/>
                          <a:headEnd type="none" w="med" len="med"/>
                          <a:tailEnd type="none" w="med" len="med"/>
                        </a:ln>
                      </wps:spPr>
                      <wps:bodyPr/>
                    </wps:wsp>
                  </wpg:wg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336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86000" cy="23365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1762125</wp:posOffset>
              </wp:positionH>
              <wp:positionV relativeFrom="paragraph">
                <wp:posOffset>-371474</wp:posOffset>
              </wp:positionV>
              <wp:extent cx="2832100" cy="1595416"/>
              <wp:effectExtent l="0" t="0" r="0" b="0"/>
              <wp:wrapNone/>
              <wp:docPr id="2" name=""/>
              <wp:cNvGraphicFramePr/>
              <a:graphic xmlns:a="http://schemas.openxmlformats.org/drawingml/2006/main">
                <a:graphicData uri="http://schemas.microsoft.com/office/word/2010/wordprocessingShape">
                  <wps:wsp>
                    <wps:cNvSpPr/>
                    <wps:spPr>
                      <a:xfrm>
                        <a:off x="3928680" y="3139920"/>
                        <a:ext cx="2834640" cy="1280160"/>
                      </a:xfrm>
                      <a:prstGeom prst="rect">
                        <a:avLst/>
                      </a:prstGeom>
                      <a:noFill/>
                      <a:ln>
                        <a:noFill/>
                      </a:ln>
                    </wps:spPr>
                    <wps:txbx>
                      <w:txbxContent>
                        <w:p w:rsidR="00D06724" w:rsidRDefault="00F341CA">
                          <w:pPr>
                            <w:jc w:val="center"/>
                            <w:textDirection w:val="btLr"/>
                          </w:pPr>
                          <w:r>
                            <w:rPr>
                              <w:b/>
                              <w:i/>
                              <w:color w:val="0000FF"/>
                              <w:sz w:val="28"/>
                            </w:rPr>
                            <w:t>Serving With Pride The</w:t>
                          </w:r>
                        </w:p>
                        <w:p w:rsidR="00D06724" w:rsidRDefault="00F341CA">
                          <w:pPr>
                            <w:jc w:val="center"/>
                            <w:textDirection w:val="btLr"/>
                          </w:pPr>
                          <w:r>
                            <w:rPr>
                              <w:b/>
                              <w:i/>
                              <w:color w:val="0000FF"/>
                              <w:sz w:val="36"/>
                            </w:rPr>
                            <w:t>Township of Manalapan</w:t>
                          </w:r>
                        </w:p>
                        <w:p w:rsidR="00D06724" w:rsidRDefault="00F341CA">
                          <w:pPr>
                            <w:jc w:val="center"/>
                            <w:textDirection w:val="btLr"/>
                          </w:pPr>
                          <w:r>
                            <w:rPr>
                              <w:b/>
                              <w:i/>
                              <w:color w:val="0000FF"/>
                              <w:sz w:val="36"/>
                            </w:rPr>
                            <w:t>and the</w:t>
                          </w:r>
                        </w:p>
                        <w:p w:rsidR="00D06724" w:rsidRDefault="00F341CA">
                          <w:pPr>
                            <w:jc w:val="center"/>
                            <w:textDirection w:val="btLr"/>
                          </w:pPr>
                          <w:r>
                            <w:rPr>
                              <w:b/>
                              <w:i/>
                              <w:color w:val="0000FF"/>
                              <w:sz w:val="36"/>
                            </w:rPr>
                            <w:t>Borough of Englishtown</w:t>
                          </w:r>
                        </w:p>
                        <w:p w:rsidR="00D06724" w:rsidRDefault="00D06724">
                          <w:pPr>
                            <w:jc w:val="center"/>
                            <w:textDirection w:val="btLr"/>
                          </w:pPr>
                        </w:p>
                        <w:p w:rsidR="00D06724" w:rsidRDefault="00D0672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595416"/>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32100" cy="1595416"/>
                      </a:xfrm>
                      <a:prstGeom prst="rect"/>
                      <a:ln/>
                    </pic:spPr>
                  </pic:pic>
                </a:graphicData>
              </a:graphic>
            </wp:anchor>
          </w:drawing>
        </mc:Fallback>
      </mc:AlternateContent>
    </w:r>
    <w:r>
      <w:rPr>
        <w:noProof/>
      </w:rPr>
      <w:drawing>
        <wp:anchor distT="114300" distB="114300" distL="114300" distR="114300" simplePos="0" relativeHeight="251660288" behindDoc="0" locked="0" layoutInCell="1" hidden="0" allowOverlap="1">
          <wp:simplePos x="0" y="0"/>
          <wp:positionH relativeFrom="column">
            <wp:posOffset>9526</wp:posOffset>
          </wp:positionH>
          <wp:positionV relativeFrom="paragraph">
            <wp:posOffset>-790574</wp:posOffset>
          </wp:positionV>
          <wp:extent cx="1747838" cy="1881207"/>
          <wp:effectExtent l="0" t="0" r="0" b="0"/>
          <wp:wrapNone/>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srcRect/>
                  <a:stretch>
                    <a:fillRect/>
                  </a:stretch>
                </pic:blipFill>
                <pic:spPr>
                  <a:xfrm>
                    <a:off x="0" y="0"/>
                    <a:ext cx="1747838" cy="1881207"/>
                  </a:xfrm>
                  <a:prstGeom prst="rect">
                    <a:avLst/>
                  </a:prstGeom>
                  <a:ln/>
                </pic:spPr>
              </pic:pic>
            </a:graphicData>
          </a:graphic>
        </wp:anchor>
      </w:drawing>
    </w:r>
  </w:p>
  <w:p w:rsidR="00D06724" w:rsidRDefault="00D067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23A"/>
    <w:multiLevelType w:val="multilevel"/>
    <w:tmpl w:val="79D8DEA8"/>
    <w:lvl w:ilvl="0">
      <w:start w:val="1"/>
      <w:numFmt w:val="bullet"/>
      <w:lvlText w:val="●"/>
      <w:lvlJc w:val="left"/>
      <w:pPr>
        <w:ind w:left="720" w:hanging="360"/>
      </w:pPr>
      <w:rPr>
        <w:rFonts w:ascii="Verdana" w:eastAsia="Verdana" w:hAnsi="Verdana" w:cs="Verdana"/>
        <w:b/>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B50D0"/>
    <w:multiLevelType w:val="multilevel"/>
    <w:tmpl w:val="F40866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24"/>
    <w:rsid w:val="00D06724"/>
    <w:rsid w:val="00F3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09E893-63B2-4496-83E7-CF4A193F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i/>
      <w:sz w:val="18"/>
      <w:szCs w:val="18"/>
    </w:rPr>
  </w:style>
  <w:style w:type="paragraph" w:styleId="Heading2">
    <w:name w:val="heading 2"/>
    <w:basedOn w:val="Normal"/>
    <w:next w:val="Normal"/>
    <w:pPr>
      <w:keepNext/>
      <w:keepLines/>
      <w:jc w:val="center"/>
      <w:outlineLvl w:val="1"/>
    </w:pPr>
    <w:rPr>
      <w:i/>
      <w:color w:val="FF0000"/>
    </w:rPr>
  </w:style>
  <w:style w:type="paragraph" w:styleId="Heading3">
    <w:name w:val="heading 3"/>
    <w:basedOn w:val="Normal"/>
    <w:next w:val="Normal"/>
    <w:pPr>
      <w:keepNext/>
      <w:keepLines/>
      <w:jc w:val="center"/>
      <w:outlineLvl w:val="2"/>
    </w:pPr>
    <w:rPr>
      <w:b/>
      <w:i/>
      <w:color w:val="0000FF"/>
      <w:sz w:val="24"/>
      <w:szCs w:val="24"/>
    </w:rPr>
  </w:style>
  <w:style w:type="paragraph" w:styleId="Heading4">
    <w:name w:val="heading 4"/>
    <w:basedOn w:val="Normal"/>
    <w:next w:val="Normal"/>
    <w:pPr>
      <w:keepNext/>
      <w:keepLines/>
      <w:tabs>
        <w:tab w:val="left" w:pos="5850"/>
        <w:tab w:val="left" w:pos="7200"/>
      </w:tabs>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4536</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
    </vt:vector>
  </TitlesOfParts>
  <Company>MERS</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Ljajka, Lisa</dc:creator>
  <cp:lastModifiedBy>Ljajka, Lisa</cp:lastModifiedBy>
  <cp:revision>2</cp:revision>
  <dcterms:created xsi:type="dcterms:W3CDTF">2024-08-12T18:19:00Z</dcterms:created>
  <dcterms:modified xsi:type="dcterms:W3CDTF">2024-08-12T18:19:00Z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a9501922317f494f5c4dc637094df7474f19556ad0e922dace468dc79ad0732d</vt:lpwstr>
  </property>
</Properties>
</file>